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 xml:space="preserve">CZECH OPEN </w:t>
      </w:r>
      <w:r>
        <w:rPr>
          <w:highlight w:val="yellow"/>
        </w:rPr>
        <w:t>2026</w:t>
      </w:r>
    </w:p>
    <w:p>
      <w:pPr>
        <w:pStyle w:val="Title"/>
        <w:rPr>
          <w:sz w:val="16"/>
          <w:szCs w:val="16"/>
        </w:rPr>
      </w:pPr>
      <w:r>
        <w:rPr>
          <w:highlight w:val="yellow"/>
        </w:rPr>
        <w:t>XXIV</w:t>
      </w:r>
      <w:r>
        <w:rPr/>
        <w:t>. ročník turnaje ve scrabble</w:t>
      </w:r>
    </w:p>
    <w:p>
      <w:pPr>
        <w:pStyle w:val="Heading2"/>
        <w:spacing w:before="0" w:after="1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Podnzev"/>
        <w:rPr>
          <w:b/>
          <w:bCs/>
          <w:sz w:val="16"/>
          <w:szCs w:val="16"/>
        </w:rPr>
      </w:pPr>
      <w:r>
        <w:rPr/>
        <w:t xml:space="preserve">součást </w:t>
      </w:r>
      <w:r>
        <w:rPr>
          <w:highlight w:val="yellow"/>
        </w:rPr>
        <w:t>XXXVII</w:t>
      </w:r>
      <w:r>
        <w:rPr/>
        <w:t>. ročníku mezinárodního festivalu šachu a her</w:t>
      </w:r>
    </w:p>
    <w:p>
      <w:pPr>
        <w:pStyle w:val="Podnzev"/>
        <w:rPr>
          <w:b/>
          <w:bCs/>
          <w:sz w:val="16"/>
          <w:szCs w:val="16"/>
        </w:rPr>
      </w:pPr>
      <w:r>
        <w:rPr/>
        <w:t xml:space="preserve">Pardubice </w:t>
      </w:r>
      <w:r>
        <w:rPr>
          <w:highlight w:val="yellow"/>
        </w:rPr>
        <w:t>18.–19. 7.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Pořadatel:</w:t>
      </w:r>
      <w:r>
        <w:rPr/>
        <w:t xml:space="preserve"> AVE CHESS z.s. ve spolupráci s Českou asociací scrabble</w:t>
      </w:r>
    </w:p>
    <w:p>
      <w:pPr>
        <w:pStyle w:val="Normal"/>
        <w:rPr>
          <w:rStyle w:val="Strong"/>
          <w:rFonts w:eastAsia="Calibri" w:eastAsiaTheme="minorHAnsi"/>
          <w:b w:val="false"/>
          <w:bCs w:val="false"/>
          <w:lang w:val="es-ES"/>
        </w:rPr>
      </w:pPr>
      <w:r>
        <w:rPr>
          <w:b/>
          <w:bCs/>
        </w:rPr>
        <w:t>Ředitel turnaje:</w:t>
      </w:r>
      <w:r>
        <w:rPr/>
        <w:t xml:space="preserve"> Petr Kuča, </w:t>
      </w:r>
      <w:hyperlink r:id="rId2">
        <w:r>
          <w:rPr>
            <w:rStyle w:val="Hyperlink"/>
          </w:rPr>
          <w:t>kucapetr@volny.cz</w:t>
        </w:r>
      </w:hyperlink>
      <w:r>
        <w:rPr/>
        <w:t>,  724 872 856</w:t>
      </w:r>
    </w:p>
    <w:p>
      <w:pPr>
        <w:pStyle w:val="Normal"/>
        <w:rPr>
          <w:rFonts w:eastAsia="Times New Roman"/>
        </w:rPr>
      </w:pPr>
      <w:r>
        <w:rPr>
          <w:rStyle w:val="Strong"/>
        </w:rPr>
        <w:t>Právo účasti: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hráči bez omezení věku a výkonnosti</w:t>
      </w:r>
    </w:p>
    <w:p>
      <w:pPr>
        <w:pStyle w:val="Normal"/>
        <w:rPr>
          <w:rFonts w:eastAsia="Times New Roman"/>
        </w:rPr>
      </w:pPr>
      <w:r>
        <w:rPr>
          <w:b/>
          <w:bCs/>
        </w:rPr>
        <w:t>Systém turnaje:</w:t>
      </w:r>
      <w:r>
        <w:rPr>
          <w:rFonts w:eastAsia="Times New Roman"/>
        </w:rPr>
        <w:t xml:space="preserve"> švýcarský systém na 15 kol podle pravidel ČAS (40 min + 2 tahy), při rovnosti bodů rozhoduje o pořadí TurČAS</w:t>
      </w:r>
    </w:p>
    <w:p>
      <w:pPr>
        <w:pStyle w:val="Normal"/>
        <w:rPr>
          <w:rFonts w:eastAsia="Times New Roman"/>
        </w:rPr>
      </w:pPr>
      <w:r>
        <w:rPr>
          <w:rFonts w:eastAsia="Times New Roman"/>
          <w:b/>
          <w:bCs/>
        </w:rPr>
        <w:t>Finanční ceny</w:t>
      </w:r>
      <w:r>
        <w:rPr>
          <w:rFonts w:eastAsia="Times New Roman"/>
        </w:rPr>
        <w:t xml:space="preserve"> v Kč: 1 000, 600, 400 </w:t>
      </w:r>
    </w:p>
    <w:p>
      <w:pPr>
        <w:pStyle w:val="Normal"/>
        <w:rPr>
          <w:rFonts w:eastAsia="Calibri" w:eastAsiaTheme="minorHAnsi"/>
        </w:rPr>
      </w:pPr>
      <w:r>
        <w:rPr>
          <w:b/>
          <w:bCs/>
        </w:rPr>
        <w:t>Věcné ceny:</w:t>
      </w:r>
      <w:r>
        <w:rPr/>
        <w:t xml:space="preserve"> vyhlášeno bude ocenění za nejhodnotnější slovo a nejvyšší skóre poraženého hráče</w:t>
      </w:r>
    </w:p>
    <w:p>
      <w:pPr>
        <w:pStyle w:val="Normal"/>
        <w:rPr>
          <w:sz w:val="22"/>
          <w:szCs w:val="22"/>
        </w:rPr>
      </w:pPr>
      <w:r>
        <w:rPr>
          <w:b/>
          <w:bCs/>
        </w:rPr>
        <w:t>Startovné:</w:t>
      </w:r>
      <w:r>
        <w:rPr/>
        <w:t xml:space="preserve"> 320 Kč</w:t>
      </w:r>
    </w:p>
    <w:p>
      <w:pPr>
        <w:pStyle w:val="Normal"/>
        <w:rPr>
          <w:rFonts w:eastAsia="Calibri" w:eastAsiaTheme="minorHAnsi"/>
        </w:rPr>
      </w:pPr>
      <w:r>
        <w:rPr>
          <w:b/>
          <w:bCs/>
        </w:rPr>
        <w:t>Slevy ze startovného</w:t>
      </w:r>
      <w:r>
        <w:rPr/>
        <w:t xml:space="preserve"> mají hráči přihlášení do 30. 6. </w:t>
      </w:r>
      <w:r>
        <w:rPr>
          <w:highlight w:val="yellow"/>
        </w:rPr>
        <w:t>2026</w:t>
      </w:r>
      <w:r>
        <w:rPr>
          <w:lang w:val="es-ES"/>
        </w:rPr>
        <w:t xml:space="preserve"> ve výši: </w:t>
      </w:r>
    </w:p>
    <w:p>
      <w:pPr>
        <w:pStyle w:val="ListParagraph"/>
        <w:numPr>
          <w:ilvl w:val="0"/>
          <w:numId w:val="1"/>
        </w:numPr>
        <w:spacing w:lineRule="auto" w:line="257" w:before="0" w:after="160"/>
        <w:contextualSpacing/>
        <w:rPr/>
      </w:pPr>
      <w:r>
        <w:rPr>
          <w:lang w:val="es-ES"/>
        </w:rPr>
        <w:t xml:space="preserve">žáci, studenti a důchodci 50 % </w:t>
      </w:r>
    </w:p>
    <w:p>
      <w:pPr>
        <w:pStyle w:val="ListParagraph"/>
        <w:numPr>
          <w:ilvl w:val="0"/>
          <w:numId w:val="1"/>
        </w:numPr>
        <w:spacing w:lineRule="auto" w:line="257" w:before="0" w:after="160"/>
        <w:contextualSpacing/>
        <w:rPr/>
      </w:pPr>
      <w:r>
        <w:rPr>
          <w:lang w:val="es-ES"/>
        </w:rPr>
        <w:t xml:space="preserve">ostatní hráči 25 % </w:t>
      </w:r>
    </w:p>
    <w:p>
      <w:pPr>
        <w:pStyle w:val="ListParagraph"/>
        <w:spacing w:lineRule="auto" w:line="257" w:before="0" w:after="160"/>
        <w:contextualSpacing/>
        <w:rPr/>
      </w:pPr>
      <w:r>
        <w:rPr/>
      </w:r>
    </w:p>
    <w:p>
      <w:pPr>
        <w:pStyle w:val="Normal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Harmonogram:</w:t>
      </w:r>
    </w:p>
    <w:tbl>
      <w:tblPr>
        <w:tblStyle w:val="Svtlmkatabulky"/>
        <w:tblW w:w="918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88"/>
        <w:gridCol w:w="1252"/>
        <w:gridCol w:w="6945"/>
      </w:tblGrid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rFonts w:eastAsia="Arial Unicode MS"/>
              </w:rPr>
            </w:pPr>
            <w:r>
              <w:rPr>
                <w:kern w:val="0"/>
                <w:lang w:val="cs-CZ" w:bidi="ar-SA"/>
              </w:rPr>
              <w:t xml:space="preserve">So </w:t>
            </w:r>
            <w:r>
              <w:rPr>
                <w:kern w:val="0"/>
                <w:highlight w:val="yellow"/>
                <w:lang w:val="cs-CZ" w:bidi="ar-SA"/>
              </w:rPr>
              <w:t>18. 7.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before="120" w:after="120"/>
              <w:jc w:val="end"/>
              <w:rPr>
                <w:rFonts w:eastAsia="Arial Unicode MS"/>
              </w:rPr>
            </w:pPr>
            <w:r>
              <w:rPr>
                <w:kern w:val="0"/>
                <w:lang w:val="cs-CZ" w:bidi="ar-SA"/>
              </w:rPr>
              <w:t>8.30–9.30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rFonts w:eastAsia="Arial Unicode MS"/>
              </w:rPr>
            </w:pPr>
            <w:r>
              <w:rPr>
                <w:kern w:val="0"/>
                <w:lang w:val="cs-CZ" w:bidi="ar-SA"/>
              </w:rPr>
              <w:t>registrace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cs-CZ" w:bidi="ar-SA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before="120" w:after="12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10.00–19.00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rFonts w:eastAsia="Arial Unicode MS"/>
              </w:rPr>
            </w:pPr>
            <w:r>
              <w:rPr>
                <w:kern w:val="0"/>
                <w:lang w:val="cs-CZ" w:bidi="ar-SA"/>
              </w:rPr>
              <w:t>1. - 9., kolo vč. pauzy na oběd (cca 13.30–14.00),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rFonts w:eastAsia="Arial Unicode MS"/>
              </w:rPr>
            </w:pPr>
            <w:r>
              <w:rPr>
                <w:kern w:val="0"/>
                <w:lang w:val="cs-CZ" w:bidi="ar-SA"/>
              </w:rPr>
              <w:t xml:space="preserve">Ne </w:t>
            </w:r>
            <w:r>
              <w:rPr>
                <w:kern w:val="0"/>
                <w:highlight w:val="yellow"/>
                <w:lang w:val="cs-CZ" w:bidi="ar-SA"/>
              </w:rPr>
              <w:t>19. 7</w:t>
            </w:r>
            <w:r>
              <w:rPr>
                <w:kern w:val="0"/>
                <w:lang w:val="cs-CZ" w:bidi="ar-SA"/>
              </w:rPr>
              <w:t>.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before="120" w:after="120"/>
              <w:jc w:val="end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cs-CZ" w:bidi="ar-SA"/>
              </w:rPr>
              <w:t>9.00</w:t>
            </w:r>
            <w:r>
              <w:rPr>
                <w:kern w:val="0"/>
                <w:lang w:val="cs-CZ" w:bidi="ar-SA"/>
              </w:rPr>
              <w:t>–</w:t>
            </w:r>
            <w:r>
              <w:rPr>
                <w:rFonts w:eastAsia="Arial Unicode MS"/>
                <w:kern w:val="0"/>
                <w:lang w:val="cs-CZ" w:bidi="ar-SA"/>
              </w:rPr>
              <w:t>15.30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10. - 15. kolo, vč. pauzy na oběd (cca 13.30–14.00)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cs-CZ" w:bidi="ar-SA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before="120" w:after="12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cs-CZ" w:bidi="ar-SA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before="120" w:after="12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15.30–16.00</w:t>
            </w:r>
          </w:p>
        </w:tc>
        <w:tc>
          <w:tcPr>
            <w:tcW w:w="6945" w:type="dxa"/>
            <w:tcBorders/>
          </w:tcPr>
          <w:p>
            <w:pPr>
              <w:pStyle w:val="Normal"/>
              <w:widowControl/>
              <w:spacing w:before="120" w:after="12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vyhlášení výsledků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>
          <w:highlight w:val="yellow"/>
        </w:rPr>
        <w:t>Ubytování</w:t>
      </w:r>
    </w:p>
    <w:tbl>
      <w:tblPr>
        <w:tblStyle w:val="Svtlmkatabulky1"/>
        <w:tblW w:w="94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105"/>
        <w:gridCol w:w="1161"/>
        <w:gridCol w:w="1249"/>
        <w:gridCol w:w="1135"/>
        <w:gridCol w:w="1843"/>
      </w:tblGrid>
      <w:tr>
        <w:trPr>
          <w:trHeight w:val="312" w:hRule="atLeast"/>
        </w:trPr>
        <w:tc>
          <w:tcPr>
            <w:tcW w:w="4105" w:type="dxa"/>
            <w:vMerge w:val="restart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Ubytovací zařízení (ve všech Wi-Fi zdarma)</w:t>
            </w:r>
          </w:p>
        </w:tc>
        <w:tc>
          <w:tcPr>
            <w:tcW w:w="1161" w:type="dxa"/>
            <w:vMerge w:val="restart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Vzdálenost od hr. sálu</w:t>
            </w:r>
          </w:p>
        </w:tc>
        <w:tc>
          <w:tcPr>
            <w:tcW w:w="1249" w:type="dxa"/>
            <w:vMerge w:val="restart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sprcha + WC</w:t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recepce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cena za 1 noc</w:t>
            </w:r>
          </w:p>
        </w:tc>
      </w:tr>
      <w:tr>
        <w:trPr>
          <w:trHeight w:val="312" w:hRule="atLeast"/>
        </w:trPr>
        <w:tc>
          <w:tcPr>
            <w:tcW w:w="4105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61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snídaně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b/>
                <w:bCs/>
                <w:kern w:val="0"/>
                <w:lang w:val="cs-CZ" w:bidi="ar-SA"/>
              </w:rPr>
              <w:t>Koleje Univerzity Pardubice **</w:t>
            </w:r>
          </w:p>
        </w:tc>
        <w:tc>
          <w:tcPr>
            <w:tcW w:w="1161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1.2 km</w:t>
            </w:r>
          </w:p>
        </w:tc>
        <w:tc>
          <w:tcPr>
            <w:tcW w:w="1249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do 22.00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 klasik * - blok A, B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na patře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800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 klasik * - blok A, B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na patře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450 Kč / lůžko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 buňky ** - blok A, B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pro 2 pokoje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950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 apartmány s kuchyňkou ** - blok C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1 200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 apartmány s kuchyňkou ** - blok C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1 400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Hotel Hůrka **</w:t>
            </w:r>
          </w:p>
        </w:tc>
        <w:tc>
          <w:tcPr>
            <w:tcW w:w="1161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4 km</w:t>
            </w:r>
          </w:p>
        </w:tc>
        <w:tc>
          <w:tcPr>
            <w:tcW w:w="1249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nonstop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 s kuchyňkou pro 2 pokoje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pro 2 pokoje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750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2-,3lůžkové s kuchyňkou pro 2 pokoje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pro 2 pokoje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500 Kč / lůžko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Hotel Kristl ** garni</w:t>
            </w:r>
          </w:p>
        </w:tc>
        <w:tc>
          <w:tcPr>
            <w:tcW w:w="1161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1.8 km</w:t>
            </w:r>
          </w:p>
        </w:tc>
        <w:tc>
          <w:tcPr>
            <w:tcW w:w="1249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do 20.00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kern w:val="0"/>
                <w:lang w:val="cs-CZ" w:bidi="ar-SA"/>
              </w:rPr>
              <w:t>(od 17. 7.)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pro 2 pokoje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900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2-,3lůžkové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pro 2 pokoje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650 Kč / lůžko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Hotel Trim ***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3.3 km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nonstop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1 200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2 000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pro 2 pokoje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1 000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pro 2 pokoje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1 300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3lůžkové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pro 2 pokoje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1 700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Hotel Arnošt *** garni</w:t>
            </w:r>
          </w:p>
        </w:tc>
        <w:tc>
          <w:tcPr>
            <w:tcW w:w="1161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km</w:t>
            </w:r>
          </w:p>
        </w:tc>
        <w:tc>
          <w:tcPr>
            <w:tcW w:w="1249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nonstop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 s kuchyňkou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1 300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 s kuchyňkou nebo balkónem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1 700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3lůžkové s kuchyňkou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2 300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4lůžkové apartmány s kuchyňkou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ne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3 000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Hotel Zlatá štika ***</w:t>
            </w:r>
          </w:p>
        </w:tc>
        <w:tc>
          <w:tcPr>
            <w:tcW w:w="1161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1.2 km</w:t>
            </w:r>
          </w:p>
        </w:tc>
        <w:tc>
          <w:tcPr>
            <w:tcW w:w="1249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nonstop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1 600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2 000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3lůžkové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2 800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Hotel Labe ***</w:t>
            </w:r>
          </w:p>
        </w:tc>
        <w:tc>
          <w:tcPr>
            <w:tcW w:w="1161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300 m</w:t>
            </w:r>
          </w:p>
        </w:tc>
        <w:tc>
          <w:tcPr>
            <w:tcW w:w="1249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nonstop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NoSpacing"/>
              <w:widowControl/>
              <w:tabs>
                <w:tab w:val="clear" w:pos="708"/>
                <w:tab w:val="left" w:pos="1440" w:leader="none"/>
                <w:tab w:val="right" w:pos="1627" w:leader="none"/>
              </w:tabs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1 400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1 600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2 000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 nové ***+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1 650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 nové ***+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1 850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Hotel Staré časy ***+</w:t>
            </w:r>
          </w:p>
        </w:tc>
        <w:tc>
          <w:tcPr>
            <w:tcW w:w="1161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km</w:t>
            </w:r>
          </w:p>
        </w:tc>
        <w:tc>
          <w:tcPr>
            <w:tcW w:w="1249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do 22.00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1 600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2 000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 s klimatizací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1 900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 s klimatizací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2 300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Penzion Austria ***+</w:t>
            </w:r>
          </w:p>
        </w:tc>
        <w:tc>
          <w:tcPr>
            <w:tcW w:w="1161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800 m</w:t>
            </w:r>
          </w:p>
        </w:tc>
        <w:tc>
          <w:tcPr>
            <w:tcW w:w="1249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do 22.00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 s klimatizací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1 800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 s klimatizací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2 200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3lůžkové s klimatizací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2 800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 apartmány s klimatizací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2 500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3lůžkové apartmány s klimatizací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3 100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4lůžkové apartmány s klimatizací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3 800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  <w:kern w:val="0"/>
                <w:lang w:val="cs-CZ" w:bidi="ar-SA"/>
              </w:rPr>
              <w:t>Hotel Euro ****</w:t>
            </w:r>
          </w:p>
        </w:tc>
        <w:tc>
          <w:tcPr>
            <w:tcW w:w="1161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1.4 km</w:t>
            </w:r>
          </w:p>
        </w:tc>
        <w:tc>
          <w:tcPr>
            <w:tcW w:w="1249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nonstop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1lůžkové s klimatizací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2 500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2lůžkové s klimatizací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2 800 Kč / pokoj</w:t>
            </w:r>
          </w:p>
        </w:tc>
      </w:tr>
      <w:tr>
        <w:trPr>
          <w:trHeight w:val="312" w:hRule="atLeast"/>
        </w:trPr>
        <w:tc>
          <w:tcPr>
            <w:tcW w:w="410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3lůžkové s klimatizací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</w:r>
          </w:p>
        </w:tc>
        <w:tc>
          <w:tcPr>
            <w:tcW w:w="124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ano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end"/>
              <w:rPr>
                <w:kern w:val="0"/>
                <w:lang w:val="cs-CZ" w:bidi="ar-SA"/>
              </w:rPr>
            </w:pPr>
            <w:r>
              <w:rPr>
                <w:kern w:val="0"/>
                <w:lang w:val="cs-CZ" w:bidi="ar-SA"/>
              </w:rPr>
              <w:t>3 500 Kč / pokoj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  <w:t>Ubytovaní nad 18 let hradí při příjezdu na recepci magistrátní poplatek městu Pardubice ve výši 30 Kč / noc.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>
          <w:highlight w:val="yellow"/>
        </w:rPr>
        <w:t>Ostatní informace</w:t>
      </w:r>
    </w:p>
    <w:p>
      <w:pPr>
        <w:pStyle w:val="Normal"/>
        <w:tabs>
          <w:tab w:val="clear" w:pos="708"/>
          <w:tab w:val="right" w:pos="5812" w:leader="none"/>
        </w:tabs>
        <w:rPr/>
      </w:pPr>
      <w:r>
        <w:rPr>
          <w:b/>
          <w:bCs/>
        </w:rPr>
        <w:t>Závazné přihlášky s objednávkou noclehů vyplňte do 30. 6. 2026 on-line</w:t>
      </w:r>
      <w:r>
        <w:rPr/>
        <w:t xml:space="preserve"> na </w:t>
      </w:r>
      <w:hyperlink r:id="rId3">
        <w:r>
          <w:rPr>
            <w:rStyle w:val="Hyperlink"/>
          </w:rPr>
          <w:t>www.czechopen.net/cz/informace/prihlaska</w:t>
        </w:r>
      </w:hyperlink>
      <w:r>
        <w:rPr/>
        <w:t xml:space="preserve"> nebo zašlete prostřednictvím e-mailu na </w:t>
      </w:r>
      <w:hyperlink r:id="rId4">
        <w:r>
          <w:rPr>
            <w:rStyle w:val="Hyperlink"/>
          </w:rPr>
          <w:t>office@avechess.cz</w:t>
        </w:r>
      </w:hyperlink>
      <w:r>
        <w:rPr/>
        <w:t>.</w:t>
      </w:r>
    </w:p>
    <w:p>
      <w:pPr>
        <w:pStyle w:val="Normal"/>
        <w:tabs>
          <w:tab w:val="clear" w:pos="708"/>
          <w:tab w:val="right" w:pos="5812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right" w:pos="5812" w:leader="none"/>
        </w:tabs>
        <w:rPr/>
      </w:pPr>
      <w:r>
        <w:rPr>
          <w:b/>
          <w:bCs/>
        </w:rPr>
        <w:t xml:space="preserve">Platby startovného a ubytování </w:t>
      </w:r>
      <w:r>
        <w:rPr/>
        <w:t>budou vybírány v průběhu registrace v hotovosti nebo prostřednictvím platebních karet Eurocard/Master Card, Maestro, VISA, VISA Electron, JCB nebo Diners Club. Pořadatel si vyhrazuje právo u některých typů ubytování požadovat platbu předem.</w:t>
      </w:r>
    </w:p>
    <w:p>
      <w:pPr>
        <w:pStyle w:val="Normal"/>
        <w:rPr/>
      </w:pPr>
      <w:r>
        <w:rPr>
          <w:b/>
          <w:bCs/>
        </w:rPr>
        <w:t>Hrací sály, místo registrace, zajištění ubytování a sekretariát:</w:t>
      </w:r>
      <w:r>
        <w:rPr/>
        <w:t xml:space="preserve"> </w:t>
      </w:r>
      <w:r>
        <w:rPr>
          <w:b/>
          <w:bCs/>
        </w:rPr>
        <w:t>:</w:t>
      </w:r>
      <w:r>
        <w:rPr/>
        <w:t xml:space="preserve"> enteria arena (zimní stadion), Sukova třída 1735, 530 02 Pardubice</w:t>
      </w:r>
    </w:p>
    <w:p>
      <w:pPr>
        <w:pStyle w:val="Normal"/>
        <w:tabs>
          <w:tab w:val="clear" w:pos="708"/>
          <w:tab w:val="right" w:pos="5812" w:leader="none"/>
        </w:tabs>
        <w:rPr/>
      </w:pPr>
      <w:r>
        <w:rPr>
          <w:b/>
          <w:bCs/>
        </w:rPr>
        <w:t>Doprava:</w:t>
      </w:r>
      <w:r>
        <w:rPr/>
        <w:t xml:space="preserve"> - spojení od nádraží ČD trolejbusem č.3 nebo autobusem č. 10, 16, 17 (4. zastávka)</w:t>
      </w:r>
    </w:p>
    <w:p>
      <w:pPr>
        <w:pStyle w:val="Normal"/>
        <w:tabs>
          <w:tab w:val="clear" w:pos="708"/>
          <w:tab w:val="right" w:pos="5812" w:leader="none"/>
        </w:tabs>
        <w:rPr/>
      </w:pPr>
      <w:r>
        <w:rPr>
          <w:b/>
          <w:bCs/>
        </w:rPr>
        <w:t>Občerstvení:</w:t>
      </w:r>
      <w:r>
        <w:rPr/>
        <w:t xml:space="preserve"> festivalový party stan</w:t>
      </w:r>
    </w:p>
    <w:p>
      <w:pPr>
        <w:pStyle w:val="Normal"/>
        <w:tabs>
          <w:tab w:val="clear" w:pos="708"/>
          <w:tab w:val="right" w:pos="5812" w:leader="none"/>
        </w:tabs>
        <w:rPr/>
      </w:pPr>
      <w:r>
        <w:rPr>
          <w:b/>
          <w:bCs/>
        </w:rPr>
        <w:t>Internet:</w:t>
      </w:r>
      <w:r>
        <w:rPr/>
        <w:t xml:space="preserve"> po celou dobu festivalu bude k dispozici zdarma bezdrátové připojení</w:t>
      </w:r>
    </w:p>
    <w:p>
      <w:pPr>
        <w:pStyle w:val="Normal"/>
        <w:tabs>
          <w:tab w:val="clear" w:pos="708"/>
          <w:tab w:val="right" w:pos="5812" w:leader="none"/>
        </w:tabs>
        <w:rPr/>
      </w:pPr>
      <w:r>
        <w:rPr>
          <w:b/>
          <w:bCs/>
        </w:rPr>
        <w:t>Podrobnější informace</w:t>
      </w:r>
      <w:r>
        <w:rPr/>
        <w:t xml:space="preserve"> na internetových stránkách festivalu </w:t>
      </w:r>
      <w:hyperlink r:id="rId5">
        <w:r>
          <w:rPr>
            <w:rStyle w:val="Hyperlink"/>
          </w:rPr>
          <w:t>www.czechopen.net</w:t>
        </w:r>
      </w:hyperlink>
    </w:p>
    <w:p>
      <w:pPr>
        <w:pStyle w:val="Normal"/>
        <w:tabs>
          <w:tab w:val="clear" w:pos="708"/>
          <w:tab w:val="right" w:pos="5812" w:leader="none"/>
        </w:tabs>
        <w:rPr/>
      </w:pPr>
      <w:r>
        <w:rPr>
          <w:b/>
          <w:bCs/>
        </w:rPr>
        <w:t>Zajímavosti</w:t>
      </w:r>
      <w:r>
        <w:rPr/>
        <w:t xml:space="preserve">: Facebook – </w:t>
      </w:r>
      <w:hyperlink r:id="rId6">
        <w:r>
          <w:rPr>
            <w:rStyle w:val="Hyperlink"/>
          </w:rPr>
          <w:t>AVE CHESS</w:t>
        </w:r>
      </w:hyperlink>
      <w:r>
        <w:rPr/>
        <w:t xml:space="preserve">, </w:t>
      </w:r>
      <w:hyperlink r:id="rId7">
        <w:r>
          <w:rPr>
            <w:rStyle w:val="Hyperlink"/>
          </w:rPr>
          <w:t>Czech Open CZ</w:t>
        </w:r>
      </w:hyperlink>
      <w:r>
        <w:rPr/>
        <w:t xml:space="preserve">, Instagram – </w:t>
      </w:r>
      <w:hyperlink r:id="rId8">
        <w:r>
          <w:rPr>
            <w:rStyle w:val="Hyperlink"/>
          </w:rPr>
          <w:t>AVE CHESS</w:t>
        </w:r>
      </w:hyperlink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Účastí v turnaji dává hráč pořadateli právo ke zhotovení fotografií a videí se svojí osobou a jejich využití.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Kontakt na pořadatele:</w:t>
      </w:r>
      <w:r>
        <w:rPr/>
        <w:t xml:space="preserve"> AVE CHESS, z.s., tel. 466 535 200, mobil 608 203 007, e-mail: </w:t>
      </w:r>
      <w:hyperlink r:id="rId9">
        <w:r>
          <w:rPr>
            <w:rStyle w:val="Hyperlink"/>
          </w:rPr>
          <w:t>office@avechess.cz</w:t>
        </w:r>
      </w:hyperlink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40" w:before="120" w:after="120"/>
        <w:jc w:val="start"/>
        <w:rPr/>
      </w:pPr>
      <w:r>
        <w:rPr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 w:eastAsiaTheme="minorEastAsia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48fa"/>
    <w:pPr>
      <w:widowControl/>
      <w:bidi w:val="0"/>
      <w:spacing w:lineRule="auto" w:line="240" w:before="120" w:after="120"/>
      <w:jc w:val="star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cs-CZ" w:val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1f7427"/>
    <w:pPr>
      <w:keepNext w:val="true"/>
      <w:keepLines/>
      <w:pBdr>
        <w:bottom w:val="single" w:sz="4" w:space="1" w:color="000000"/>
      </w:pBdr>
      <w:spacing w:before="480" w:after="240"/>
      <w:outlineLvl w:val="0"/>
    </w:pPr>
    <w:rPr>
      <w:rFonts w:eastAsia="" w:cs="" w:cstheme="majorBidi" w:eastAsiaTheme="majorEastAsia"/>
      <w:b/>
      <w:caps/>
      <w:color w:val="C00000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f1c0a"/>
    <w:pPr>
      <w:keepNext w:val="true"/>
      <w:keepLines/>
      <w:spacing w:before="360" w:after="120"/>
      <w:outlineLvl w:val="1"/>
    </w:pPr>
    <w:rPr>
      <w:rFonts w:eastAsia="" w:cs="" w:cstheme="majorBidi" w:eastAsiaTheme="majorEastAsia"/>
      <w:color w:val="C00000"/>
      <w:sz w:val="28"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3b0308"/>
    <w:pPr>
      <w:keepNext w:val="true"/>
      <w:outlineLvl w:val="2"/>
    </w:pPr>
    <w:rPr>
      <w:bCs/>
      <w:sz w:val="24"/>
      <w:szCs w:val="28"/>
    </w:rPr>
  </w:style>
  <w:style w:type="paragraph" w:styleId="Heading4">
    <w:name w:val="heading 4"/>
    <w:basedOn w:val="Normal"/>
    <w:next w:val="Normal"/>
    <w:link w:val="Nadpis4Char"/>
    <w:uiPriority w:val="99"/>
    <w:qFormat/>
    <w:rsid w:val="00d848fa"/>
    <w:pPr>
      <w:keepNext w:val="true"/>
      <w:outlineLvl w:val="3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9"/>
    <w:qFormat/>
    <w:rsid w:val="001f7427"/>
    <w:rPr>
      <w:rFonts w:ascii="Times New Roman" w:hAnsi="Times New Roman" w:eastAsia="" w:cs="" w:cstheme="majorBidi" w:eastAsiaTheme="majorEastAsia"/>
      <w:b/>
      <w:caps/>
      <w:color w:val="C00000"/>
      <w:sz w:val="32"/>
      <w:szCs w:val="32"/>
      <w:lang w:eastAsia="cs-CZ"/>
    </w:rPr>
  </w:style>
  <w:style w:type="character" w:styleId="Nadpis2Char" w:customStyle="1">
    <w:name w:val="Nadpis 2 Char"/>
    <w:basedOn w:val="DefaultParagraphFont"/>
    <w:link w:val="Heading2"/>
    <w:uiPriority w:val="9"/>
    <w:qFormat/>
    <w:rsid w:val="00bf1c0a"/>
    <w:rPr>
      <w:rFonts w:ascii="Times New Roman" w:hAnsi="Times New Roman" w:eastAsia="" w:cs="" w:cstheme="majorBidi" w:eastAsiaTheme="majorEastAsia"/>
      <w:color w:val="C00000"/>
      <w:sz w:val="28"/>
      <w:szCs w:val="26"/>
      <w:lang w:eastAsia="cs-CZ"/>
    </w:rPr>
  </w:style>
  <w:style w:type="character" w:styleId="Nadpis3Char" w:customStyle="1">
    <w:name w:val="Nadpis 3 Char"/>
    <w:basedOn w:val="DefaultParagraphFont"/>
    <w:link w:val="Heading3"/>
    <w:uiPriority w:val="99"/>
    <w:qFormat/>
    <w:rsid w:val="003b0308"/>
    <w:rPr>
      <w:rFonts w:ascii="Times New Roman" w:hAnsi="Times New Roman" w:eastAsia="" w:cs="Times New Roman" w:eastAsiaTheme="minorEastAsia"/>
      <w:bCs/>
      <w:sz w:val="24"/>
      <w:szCs w:val="28"/>
      <w:lang w:eastAsia="cs-CZ"/>
    </w:rPr>
  </w:style>
  <w:style w:type="character" w:styleId="Nadpis4Char" w:customStyle="1">
    <w:name w:val="Nadpis 4 Char"/>
    <w:basedOn w:val="DefaultParagraphFont"/>
    <w:link w:val="Heading4"/>
    <w:uiPriority w:val="99"/>
    <w:qFormat/>
    <w:rsid w:val="00d848fa"/>
    <w:rPr>
      <w:rFonts w:ascii="Times New Roman" w:hAnsi="Times New Roman" w:eastAsia="" w:cs="Times New Roman" w:eastAsiaTheme="minorEastAsia"/>
      <w:b/>
      <w:bCs/>
      <w:lang w:eastAsia="cs-CZ"/>
    </w:rPr>
  </w:style>
  <w:style w:type="character" w:styleId="NzevChar" w:customStyle="1">
    <w:name w:val="Název Char"/>
    <w:basedOn w:val="DefaultParagraphFont"/>
    <w:link w:val="Title"/>
    <w:uiPriority w:val="99"/>
    <w:qFormat/>
    <w:rsid w:val="006e72e7"/>
    <w:rPr>
      <w:rFonts w:ascii="Times New Roman" w:hAnsi="Times New Roman" w:eastAsia="" w:cs="" w:cstheme="majorBidi" w:eastAsiaTheme="majorEastAsia"/>
      <w:b/>
      <w:color w:val="C00000"/>
      <w:spacing w:val="-10"/>
      <w:kern w:val="2"/>
      <w:sz w:val="56"/>
      <w:szCs w:val="56"/>
      <w:lang w:eastAsia="cs-CZ"/>
    </w:rPr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d848fa"/>
    <w:rPr>
      <w:rFonts w:ascii="Times New Roman" w:hAnsi="Times New Roman" w:eastAsia="" w:cs="Times New Roman" w:eastAsiaTheme="minorEastAsia"/>
      <w:b/>
      <w:bCs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d848fa"/>
    <w:rPr>
      <w:rFonts w:ascii="Times New Roman" w:hAnsi="Times New Roman" w:cs="Times New Roman"/>
      <w:color w:val="0000FF"/>
      <w:u w:val="single"/>
    </w:rPr>
  </w:style>
  <w:style w:type="character" w:styleId="PodnadpisChar" w:customStyle="1">
    <w:name w:val="Podnadpis Char"/>
    <w:basedOn w:val="DefaultParagraphFont"/>
    <w:link w:val="Subtitle"/>
    <w:uiPriority w:val="99"/>
    <w:qFormat/>
    <w:rsid w:val="00d848fa"/>
    <w:rPr>
      <w:rFonts w:ascii="Times New Roman" w:hAnsi="Times New Roman" w:eastAsia="" w:cs="Times New Roman" w:eastAsiaTheme="minorEastAsia"/>
      <w:b/>
      <w:bCs/>
      <w:sz w:val="28"/>
      <w:szCs w:val="28"/>
      <w:lang w:eastAsia="cs-CZ"/>
    </w:rPr>
  </w:style>
  <w:style w:type="character" w:styleId="Strong">
    <w:name w:val="Strong"/>
    <w:basedOn w:val="DefaultParagraphFont"/>
    <w:uiPriority w:val="22"/>
    <w:qFormat/>
    <w:rsid w:val="00d848fa"/>
    <w:rPr>
      <w:rFonts w:ascii="Times New Roman" w:hAnsi="Times New Roman" w:cs="Times New Roman"/>
      <w:b/>
      <w:bCs/>
    </w:rPr>
  </w:style>
  <w:style w:type="character" w:styleId="apple-converted-space" w:customStyle="1">
    <w:name w:val="apple-converted-space"/>
    <w:basedOn w:val="DefaultParagraphFont"/>
    <w:uiPriority w:val="99"/>
    <w:qFormat/>
    <w:rsid w:val="00d848f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848fa"/>
    <w:rPr>
      <w:color w:themeColor="followedHyperlink" w:val="954F72"/>
      <w:u w:val="single"/>
    </w:rPr>
  </w:style>
  <w:style w:type="character" w:styleId="ZhlavChar" w:customStyle="1">
    <w:name w:val="Záhlaví Char"/>
    <w:basedOn w:val="DefaultParagraphFont"/>
    <w:link w:val="Header"/>
    <w:uiPriority w:val="99"/>
    <w:qFormat/>
    <w:rsid w:val="00625766"/>
    <w:rPr>
      <w:rFonts w:ascii="Times New Roman" w:hAnsi="Times New Roman" w:eastAsia="" w:cs="Times New Roman" w:eastAsiaTheme="minorEastAsia"/>
      <w:sz w:val="20"/>
      <w:szCs w:val="20"/>
      <w:lang w:eastAsia="cs-CZ"/>
    </w:rPr>
  </w:style>
  <w:style w:type="character" w:styleId="ZpatChar" w:customStyle="1">
    <w:name w:val="Zápatí Char"/>
    <w:basedOn w:val="DefaultParagraphFont"/>
    <w:link w:val="Footer"/>
    <w:uiPriority w:val="99"/>
    <w:qFormat/>
    <w:rsid w:val="00085dc4"/>
    <w:rPr>
      <w:rFonts w:ascii="Times New Roman" w:hAnsi="Times New Roman" w:eastAsia="" w:cs="Times New Roman" w:eastAsiaTheme="minorEastAsia"/>
      <w:sz w:val="20"/>
      <w:szCs w:val="20"/>
      <w:lang w:eastAsia="cs-CZ"/>
    </w:rPr>
  </w:style>
  <w:style w:type="character" w:styleId="PlaceholderText">
    <w:name w:val="Placeholder Text"/>
    <w:basedOn w:val="DefaultParagraphFont"/>
    <w:uiPriority w:val="99"/>
    <w:semiHidden/>
    <w:qFormat/>
    <w:rsid w:val="00c73d97"/>
    <w:rPr>
      <w:color w:val="80808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4d1f0e"/>
    <w:rPr>
      <w:rFonts w:ascii="Segoe UI" w:hAnsi="Segoe UI" w:eastAsia="" w:cs="Segoe UI" w:eastAsiaTheme="minorEastAsia"/>
      <w:sz w:val="18"/>
      <w:szCs w:val="18"/>
      <w:lang w:eastAsia="cs-CZ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4d1f0e"/>
    <w:rPr>
      <w:color w:val="605E5C"/>
      <w:shd w:fill="E1DFDD" w:val="clear"/>
    </w:rPr>
  </w:style>
  <w:style w:type="character" w:styleId="ZkladntextChar" w:customStyle="1">
    <w:name w:val="Základní text Char"/>
    <w:basedOn w:val="DefaultParagraphFont"/>
    <w:uiPriority w:val="99"/>
    <w:semiHidden/>
    <w:qFormat/>
    <w:rsid w:val="00e74c6b"/>
    <w:rPr>
      <w:rFonts w:ascii="Times New Roman" w:hAnsi="Times New Roman" w:eastAsia="" w:cs="Times New Roman" w:eastAsiaTheme="minorEastAsia"/>
      <w:sz w:val="20"/>
      <w:szCs w:val="20"/>
      <w:lang w:eastAsia="cs-CZ"/>
    </w:rPr>
  </w:style>
  <w:style w:type="character" w:styleId="Nevyeenzmnka2" w:customStyle="1">
    <w:name w:val="Nevyřešená zmínka2"/>
    <w:basedOn w:val="DefaultParagraphFont"/>
    <w:uiPriority w:val="99"/>
    <w:semiHidden/>
    <w:unhideWhenUsed/>
    <w:qFormat/>
    <w:rsid w:val="006a5d53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479c5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74c6b"/>
    <w:pPr/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NzevChar"/>
    <w:uiPriority w:val="99"/>
    <w:qFormat/>
    <w:rsid w:val="006e72e7"/>
    <w:pPr>
      <w:pBdr>
        <w:top w:val="single" w:sz="4" w:space="5" w:color="000000"/>
        <w:bottom w:val="single" w:sz="4" w:space="5" w:color="000000"/>
      </w:pBdr>
      <w:spacing w:before="0" w:after="240"/>
      <w:contextualSpacing/>
      <w:jc w:val="center"/>
    </w:pPr>
    <w:rPr>
      <w:rFonts w:eastAsia="" w:cs="" w:cstheme="majorBidi" w:eastAsiaTheme="majorEastAsia"/>
      <w:b/>
      <w:color w:val="C00000"/>
      <w:spacing w:val="-10"/>
      <w:kern w:val="2"/>
      <w:sz w:val="56"/>
      <w:szCs w:val="56"/>
    </w:rPr>
  </w:style>
  <w:style w:type="paragraph" w:styleId="BodyText2">
    <w:name w:val="Body Text 2"/>
    <w:basedOn w:val="Normal"/>
    <w:link w:val="Zkladntext2Char"/>
    <w:uiPriority w:val="99"/>
    <w:qFormat/>
    <w:rsid w:val="00d848fa"/>
    <w:pPr>
      <w:tabs>
        <w:tab w:val="clear" w:pos="708"/>
        <w:tab w:val="right" w:pos="2127" w:leader="none"/>
        <w:tab w:val="right" w:pos="3686" w:leader="none"/>
        <w:tab w:val="left" w:pos="3969" w:leader="none"/>
      </w:tabs>
    </w:pPr>
    <w:rPr>
      <w:b/>
      <w:bCs/>
      <w:sz w:val="24"/>
      <w:szCs w:val="24"/>
    </w:rPr>
  </w:style>
  <w:style w:type="paragraph" w:styleId="Subtitle">
    <w:name w:val="Subtitle"/>
    <w:basedOn w:val="Normal"/>
    <w:link w:val="PodnadpisChar"/>
    <w:uiPriority w:val="99"/>
    <w:qFormat/>
    <w:rsid w:val="00d848fa"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848fa"/>
    <w:pPr>
      <w:spacing w:lineRule="auto" w:line="360" w:before="120" w:after="120"/>
      <w:ind w:start="720"/>
      <w:contextualSpacing/>
    </w:pPr>
    <w:rPr/>
  </w:style>
  <w:style w:type="paragraph" w:styleId="Podnzev" w:customStyle="1">
    <w:name w:val="Podnázev"/>
    <w:basedOn w:val="Normal"/>
    <w:qFormat/>
    <w:rsid w:val="00d848fa"/>
    <w:pPr>
      <w:jc w:val="center"/>
    </w:pPr>
    <w:rPr>
      <w:sz w:val="3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625766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085dc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BalloonText">
    <w:name w:val="Balloon Text"/>
    <w:basedOn w:val="Normal"/>
    <w:link w:val="TextbublinyChar"/>
    <w:uiPriority w:val="99"/>
    <w:unhideWhenUsed/>
    <w:qFormat/>
    <w:rsid w:val="004d1f0e"/>
    <w:pPr>
      <w:spacing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51e4"/>
    <w:pPr>
      <w:widowControl/>
      <w:bidi w:val="0"/>
      <w:spacing w:lineRule="auto" w:line="240" w:before="0" w:after="0"/>
      <w:jc w:val="star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cs-CZ" w:val="cs-CZ" w:bidi="ar-SA"/>
    </w:rPr>
  </w:style>
  <w:style w:type="paragraph" w:styleId="NormalWeb">
    <w:name w:val="Normal (Web)"/>
    <w:basedOn w:val="Normal"/>
    <w:uiPriority w:val="99"/>
    <w:semiHidden/>
    <w:unhideWhenUsed/>
    <w:qFormat/>
    <w:rsid w:val="00112ae0"/>
    <w:pPr>
      <w:spacing w:beforeAutospacing="1" w:afterAutospacing="1"/>
    </w:pPr>
    <w:rPr>
      <w:rFonts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Normlntabulka"/>
    <w:uiPriority w:val="40"/>
    <w:rsid w:val="00d848fa"/>
    <w:pPr>
      <w:spacing w:after="0" w:line="240" w:lineRule="auto"/>
    </w:pPr>
    <w:rPr>
      <w:rFonts w:eastAsiaTheme="minorEastAsia"/>
      <w:lang w:eastAsia="cs-CZ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Mkatabulky">
    <w:name w:val="Table Grid"/>
    <w:basedOn w:val="Normlntabulka"/>
    <w:uiPriority w:val="39"/>
    <w:rsid w:val="00fb3d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mkatabulky">
    <w:name w:val="Grid Table Light"/>
    <w:basedOn w:val="Normlntabulka"/>
    <w:uiPriority w:val="40"/>
    <w:rsid w:val="0080481a"/>
    <w:pPr>
      <w:spacing w:after="0" w:line="240" w:lineRule="auto"/>
    </w:pPr>
    <w:rPr>
      <w:rFonts w:eastAsiaTheme="minorEastAsia"/>
      <w:lang w:eastAsia="cs-CZ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capetr@volny.cz" TargetMode="External"/><Relationship Id="rId3" Type="http://schemas.openxmlformats.org/officeDocument/2006/relationships/hyperlink" Target="http://www.czechopen.net/cz/informace/prihlaska" TargetMode="External"/><Relationship Id="rId4" Type="http://schemas.openxmlformats.org/officeDocument/2006/relationships/hyperlink" Target="office@avechess.cz" TargetMode="External"/><Relationship Id="rId5" Type="http://schemas.openxmlformats.org/officeDocument/2006/relationships/hyperlink" Target="https://www.czechopen.net/" TargetMode="External"/><Relationship Id="rId6" Type="http://schemas.openxmlformats.org/officeDocument/2006/relationships/hyperlink" Target="https://www.facebook.com/profile.php?id=61564115529731&amp;sk=about" TargetMode="External"/><Relationship Id="rId7" Type="http://schemas.openxmlformats.org/officeDocument/2006/relationships/hyperlink" Target="https://www.facebook.com/czechopencz" TargetMode="External"/><Relationship Id="rId8" Type="http://schemas.openxmlformats.org/officeDocument/2006/relationships/hyperlink" Target="https://www.instagram.com/ave_chess/" TargetMode="External"/><Relationship Id="rId9" Type="http://schemas.openxmlformats.org/officeDocument/2006/relationships/hyperlink" Target="../C:/Mazuch/Box/office@avechess.cz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7DEE-BE04-4FAD-BEAC-C1708B2C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LibreOffice/26.2.1.2$Linux_X86_64 LibreOffice_project/620$Build-2</Application>
  <AppVersion>15.0000</AppVersion>
  <Pages>3</Pages>
  <Words>831</Words>
  <Characters>3684</Characters>
  <CharactersWithSpaces>4282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2024-04-26T10:00:00Z</dcterms:created>
  <dc:creator>AVE-KONTAKT</dc:creator>
  <dc:description/>
  <dc:language>en-GB</dc:language>
  <cp:lastModifiedBy>Office AVE-KONTAKT</cp:lastModifiedBy>
  <cp:lastPrinted>2023-05-31T11:28:00Z</cp:lastPrinted>
  <dcterms:modified xsi:type="dcterms:W3CDTF">2026-03-23T11:04:00Z</dcterms:modified>
  <cp:revision>5</cp:revision>
  <dc:subject/>
  <dc:title>CZECH OPEN - scrabble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